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olors2.xml" ContentType="application/vnd.ms-office.chartcolorsty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8F184" w14:textId="0EE2F01F" w:rsidR="001E6A27" w:rsidRDefault="001E6A27" w:rsidP="00A56F3D">
      <w:pPr>
        <w:pStyle w:val="Nagwek1"/>
        <w:numPr>
          <w:ilvl w:val="0"/>
          <w:numId w:val="0"/>
        </w:numPr>
        <w:ind w:left="432" w:hanging="432"/>
      </w:pPr>
      <w:bookmarkStart w:id="0" w:name="_Toc91159585"/>
      <w:r>
        <w:t xml:space="preserve">Województwo Podkarpackie </w:t>
      </w:r>
    </w:p>
    <w:p w14:paraId="14DDD5AC" w14:textId="77777777" w:rsidR="001C3CFB" w:rsidRPr="001E6A27" w:rsidRDefault="001C3CFB" w:rsidP="001E6A27">
      <w:pPr>
        <w:pStyle w:val="Nagwek2"/>
        <w:rPr>
          <w:b/>
          <w:bCs/>
          <w:color w:val="auto"/>
        </w:rPr>
      </w:pPr>
      <w:r w:rsidRPr="001E6A27">
        <w:rPr>
          <w:b/>
          <w:bCs/>
          <w:color w:val="auto"/>
        </w:rPr>
        <w:t>Wartość wskaźnika dla RPO Województwa Podkarpackiego</w:t>
      </w:r>
      <w:bookmarkEnd w:id="0"/>
    </w:p>
    <w:p w14:paraId="4EBAF136" w14:textId="77777777" w:rsidR="002578F2" w:rsidRDefault="002578F2" w:rsidP="002578F2">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1D5AEC32" w14:textId="1776C4B4" w:rsidR="001C3CFB" w:rsidRDefault="002578F2" w:rsidP="002578F2">
      <w:r>
        <w:t xml:space="preserve">Analiza wykazała, że w ramach </w:t>
      </w:r>
      <w:r w:rsidR="001C3CFB" w:rsidRPr="001F3195">
        <w:rPr>
          <w:b/>
          <w:bCs/>
        </w:rPr>
        <w:t xml:space="preserve">RPO Województwa </w:t>
      </w:r>
      <w:r w:rsidR="001C3CFB">
        <w:rPr>
          <w:b/>
          <w:bCs/>
        </w:rPr>
        <w:t xml:space="preserve">Podkarpackiego </w:t>
      </w:r>
      <w:r w:rsidRPr="00451619">
        <w:t xml:space="preserve">osiągnięto wartość wskaźnika na poziomie: </w:t>
      </w:r>
      <w:r>
        <w:t xml:space="preserve">81,3% </w:t>
      </w:r>
      <w:r w:rsidRPr="00451619">
        <w:t>miejsc pracy, które istniały co najmniej 30 miesięcy</w:t>
      </w:r>
      <w:r>
        <w:rPr>
          <w:b/>
          <w:bCs/>
        </w:rPr>
        <w:t xml:space="preserve"> </w:t>
      </w:r>
      <w:r w:rsidRPr="00451619">
        <w:t>(wartość skumulowana wskaźnika)</w:t>
      </w:r>
      <w:r>
        <w:t xml:space="preserve">. </w:t>
      </w:r>
      <w:r w:rsidR="001C3CFB">
        <w:t xml:space="preserve">IZ Województwa Podkarpackiego założyła docelową wartość wskaźnika na poziomie </w:t>
      </w:r>
      <w:r w:rsidR="001C3CFB">
        <w:rPr>
          <w:b/>
          <w:bCs/>
        </w:rPr>
        <w:t>33</w:t>
      </w:r>
      <w:r w:rsidR="001C3CFB" w:rsidRPr="00754EA0">
        <w:rPr>
          <w:b/>
          <w:bCs/>
        </w:rPr>
        <w:t xml:space="preserve">%. </w:t>
      </w:r>
      <w:r w:rsidR="001C3CFB">
        <w:t xml:space="preserve">Oznacza to, że utworzone miejsca pracy w przedsiębiorstwach społecznych charakteryzują się znacznie większą trwałością niż założono na etapie programowania. </w:t>
      </w:r>
    </w:p>
    <w:p w14:paraId="4424034B" w14:textId="7EAA2BBD" w:rsidR="00A56F3D" w:rsidRDefault="00A56F3D" w:rsidP="001C3CFB"/>
    <w:tbl>
      <w:tblPr>
        <w:tblStyle w:val="Tabela-Siatka"/>
        <w:tblW w:w="0" w:type="auto"/>
        <w:tblLook w:val="04A0" w:firstRow="1" w:lastRow="0" w:firstColumn="1" w:lastColumn="0" w:noHBand="0" w:noVBand="1"/>
      </w:tblPr>
      <w:tblGrid>
        <w:gridCol w:w="4634"/>
        <w:gridCol w:w="4328"/>
      </w:tblGrid>
      <w:tr w:rsidR="001C3CFB" w14:paraId="18596F3B" w14:textId="77777777" w:rsidTr="001D69EE">
        <w:trPr>
          <w:trHeight w:val="488"/>
        </w:trPr>
        <w:tc>
          <w:tcPr>
            <w:tcW w:w="4634" w:type="dxa"/>
            <w:vAlign w:val="center"/>
          </w:tcPr>
          <w:p w14:paraId="5B55C10A" w14:textId="77777777" w:rsidR="001C3CFB" w:rsidRPr="00FC6E69" w:rsidRDefault="001C3CFB" w:rsidP="001D69EE">
            <w:pPr>
              <w:jc w:val="center"/>
              <w:rPr>
                <w:b/>
                <w:bCs/>
              </w:rPr>
            </w:pPr>
            <w:r w:rsidRPr="00FC6E69">
              <w:rPr>
                <w:b/>
                <w:bCs/>
              </w:rPr>
              <w:t>Województwo</w:t>
            </w:r>
          </w:p>
        </w:tc>
        <w:tc>
          <w:tcPr>
            <w:tcW w:w="4328" w:type="dxa"/>
            <w:vAlign w:val="center"/>
          </w:tcPr>
          <w:p w14:paraId="03DB8A68" w14:textId="77777777" w:rsidR="001C3CFB" w:rsidRPr="00FC6E69" w:rsidRDefault="001C3CFB" w:rsidP="001D69EE">
            <w:pPr>
              <w:jc w:val="center"/>
              <w:rPr>
                <w:b/>
                <w:bCs/>
              </w:rPr>
            </w:pPr>
            <w:r>
              <w:rPr>
                <w:b/>
                <w:bCs/>
              </w:rPr>
              <w:t>podkarpackie</w:t>
            </w:r>
          </w:p>
        </w:tc>
      </w:tr>
      <w:tr w:rsidR="001C3CFB" w14:paraId="59EA7EA2" w14:textId="77777777" w:rsidTr="001D69EE">
        <w:trPr>
          <w:trHeight w:val="488"/>
        </w:trPr>
        <w:tc>
          <w:tcPr>
            <w:tcW w:w="4634" w:type="dxa"/>
            <w:vAlign w:val="center"/>
          </w:tcPr>
          <w:p w14:paraId="3A0CEDCB" w14:textId="7661FBF8" w:rsidR="001C3CFB" w:rsidRPr="00FC6E69" w:rsidRDefault="001C3CFB" w:rsidP="001D69EE">
            <w:pPr>
              <w:jc w:val="center"/>
              <w:rPr>
                <w:b/>
                <w:bCs/>
              </w:rPr>
            </w:pPr>
            <w:r>
              <w:t>Docelowa wartość wskaźnika – liczba miejsc pracy utworzonych w przedsiębiorstwach społecznych</w:t>
            </w:r>
            <w:r w:rsidR="008C44A2">
              <w:t xml:space="preserve"> </w:t>
            </w:r>
          </w:p>
        </w:tc>
        <w:tc>
          <w:tcPr>
            <w:tcW w:w="4328" w:type="dxa"/>
            <w:vAlign w:val="center"/>
          </w:tcPr>
          <w:p w14:paraId="1D0B69E7" w14:textId="77777777" w:rsidR="001C3CFB" w:rsidRDefault="001C3CFB" w:rsidP="001D69EE">
            <w:pPr>
              <w:jc w:val="center"/>
              <w:rPr>
                <w:b/>
                <w:bCs/>
              </w:rPr>
            </w:pPr>
            <w:r>
              <w:rPr>
                <w:b/>
                <w:bCs/>
              </w:rPr>
              <w:t>1079</w:t>
            </w:r>
          </w:p>
        </w:tc>
      </w:tr>
      <w:tr w:rsidR="001C3CFB" w14:paraId="2E9E24BF" w14:textId="77777777" w:rsidTr="001D69EE">
        <w:trPr>
          <w:trHeight w:val="691"/>
        </w:trPr>
        <w:tc>
          <w:tcPr>
            <w:tcW w:w="4634" w:type="dxa"/>
            <w:vAlign w:val="center"/>
          </w:tcPr>
          <w:p w14:paraId="14090424" w14:textId="77777777" w:rsidR="001C3CFB" w:rsidRDefault="001C3CFB"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328" w:type="dxa"/>
            <w:vAlign w:val="center"/>
          </w:tcPr>
          <w:p w14:paraId="38F09326" w14:textId="77777777" w:rsidR="001C3CFB" w:rsidRDefault="001C3CFB" w:rsidP="001D69EE">
            <w:pPr>
              <w:jc w:val="center"/>
            </w:pPr>
            <w:r>
              <w:t>356</w:t>
            </w:r>
          </w:p>
          <w:p w14:paraId="0049E9E2" w14:textId="77777777" w:rsidR="001C3CFB" w:rsidRDefault="001C3CFB" w:rsidP="001D69EE">
            <w:pPr>
              <w:jc w:val="center"/>
            </w:pPr>
            <w:r>
              <w:t>(wartość wyliczona na podstawie wartości wyrażonej w %)</w:t>
            </w:r>
          </w:p>
        </w:tc>
      </w:tr>
      <w:tr w:rsidR="001C3CFB" w14:paraId="37194367" w14:textId="77777777" w:rsidTr="001D69EE">
        <w:trPr>
          <w:trHeight w:val="827"/>
        </w:trPr>
        <w:tc>
          <w:tcPr>
            <w:tcW w:w="4634" w:type="dxa"/>
            <w:vAlign w:val="center"/>
          </w:tcPr>
          <w:p w14:paraId="03F47C39" w14:textId="77777777" w:rsidR="001C3CFB" w:rsidRDefault="001C3CFB"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328" w:type="dxa"/>
            <w:vAlign w:val="center"/>
          </w:tcPr>
          <w:p w14:paraId="554E477C" w14:textId="77777777" w:rsidR="001C3CFB" w:rsidRDefault="001C3CFB" w:rsidP="001D69EE">
            <w:pPr>
              <w:jc w:val="center"/>
            </w:pPr>
            <w:r>
              <w:t>33%</w:t>
            </w:r>
          </w:p>
        </w:tc>
      </w:tr>
      <w:tr w:rsidR="001C3CFB" w14:paraId="1BD97ECA" w14:textId="77777777" w:rsidTr="00BD4C3D">
        <w:trPr>
          <w:trHeight w:val="700"/>
        </w:trPr>
        <w:tc>
          <w:tcPr>
            <w:tcW w:w="4634" w:type="dxa"/>
            <w:shd w:val="clear" w:color="auto" w:fill="auto"/>
            <w:vAlign w:val="center"/>
          </w:tcPr>
          <w:p w14:paraId="5F3B9AB6" w14:textId="4003C03D" w:rsidR="001C3CFB" w:rsidRDefault="00435B80" w:rsidP="001D69EE">
            <w:pPr>
              <w:jc w:val="center"/>
            </w:pPr>
            <w:r>
              <w:t xml:space="preserve">I Pomiar – </w:t>
            </w:r>
            <w:r w:rsidR="001C3CFB">
              <w:t>Liczba miejsc pracy objętych analizą (miejsca pracy powstałe między 1.07.2015 – 31.12.2018)</w:t>
            </w:r>
          </w:p>
        </w:tc>
        <w:tc>
          <w:tcPr>
            <w:tcW w:w="4328" w:type="dxa"/>
            <w:shd w:val="clear" w:color="auto" w:fill="auto"/>
            <w:vAlign w:val="center"/>
          </w:tcPr>
          <w:p w14:paraId="0CAB1F39" w14:textId="1590362A" w:rsidR="001C3CFB" w:rsidRDefault="001E6A27" w:rsidP="001D69EE">
            <w:pPr>
              <w:jc w:val="center"/>
            </w:pPr>
            <w:r>
              <w:t>624</w:t>
            </w:r>
          </w:p>
        </w:tc>
      </w:tr>
      <w:tr w:rsidR="001C3CFB" w14:paraId="128C7309" w14:textId="77777777" w:rsidTr="00BD4C3D">
        <w:trPr>
          <w:trHeight w:val="969"/>
        </w:trPr>
        <w:tc>
          <w:tcPr>
            <w:tcW w:w="4634" w:type="dxa"/>
            <w:shd w:val="clear" w:color="auto" w:fill="auto"/>
            <w:vAlign w:val="center"/>
          </w:tcPr>
          <w:p w14:paraId="01E1BDE3" w14:textId="6AF2B0BC" w:rsidR="001C3CFB" w:rsidRDefault="00435B80" w:rsidP="001D69EE">
            <w:pPr>
              <w:jc w:val="center"/>
            </w:pPr>
            <w:r>
              <w:t xml:space="preserve">I Pomiar – </w:t>
            </w:r>
            <w:r w:rsidR="001C3CFB">
              <w:t>Liczba miejsc pracy objętych analizą istniejących co najmniej 30 miesięcy</w:t>
            </w:r>
          </w:p>
        </w:tc>
        <w:tc>
          <w:tcPr>
            <w:tcW w:w="4328" w:type="dxa"/>
            <w:shd w:val="clear" w:color="auto" w:fill="auto"/>
            <w:vAlign w:val="center"/>
          </w:tcPr>
          <w:p w14:paraId="4C3E7146" w14:textId="4A90D169" w:rsidR="001C3CFB" w:rsidRDefault="001E6A27" w:rsidP="001D69EE">
            <w:pPr>
              <w:jc w:val="center"/>
            </w:pPr>
            <w:r>
              <w:t>501</w:t>
            </w:r>
          </w:p>
        </w:tc>
      </w:tr>
      <w:tr w:rsidR="001C3CFB" w14:paraId="0A4ACD54" w14:textId="77777777" w:rsidTr="00BD4C3D">
        <w:trPr>
          <w:trHeight w:val="969"/>
        </w:trPr>
        <w:tc>
          <w:tcPr>
            <w:tcW w:w="4634" w:type="dxa"/>
            <w:shd w:val="clear" w:color="auto" w:fill="auto"/>
            <w:vAlign w:val="center"/>
          </w:tcPr>
          <w:p w14:paraId="3125DA44" w14:textId="7B730E8F" w:rsidR="001C3CFB" w:rsidRDefault="00435B80" w:rsidP="001D69EE">
            <w:pPr>
              <w:jc w:val="center"/>
            </w:pPr>
            <w:r>
              <w:t xml:space="preserve">I Pomiar – </w:t>
            </w:r>
            <w:r w:rsidR="001C3CFB">
              <w:t>Odsetek miejsc pracy objętych analizą istniejących co najmniej 30 miesięcy</w:t>
            </w:r>
          </w:p>
        </w:tc>
        <w:tc>
          <w:tcPr>
            <w:tcW w:w="4328" w:type="dxa"/>
            <w:shd w:val="clear" w:color="auto" w:fill="auto"/>
            <w:vAlign w:val="center"/>
          </w:tcPr>
          <w:p w14:paraId="14332CCF" w14:textId="18287BF3" w:rsidR="001C3CFB" w:rsidRDefault="001C3CFB" w:rsidP="001D69EE">
            <w:pPr>
              <w:jc w:val="center"/>
            </w:pPr>
            <w:r>
              <w:t>8</w:t>
            </w:r>
            <w:r w:rsidR="001E6A27">
              <w:t>0</w:t>
            </w:r>
            <w:r w:rsidR="00F93B0F">
              <w:t>,3</w:t>
            </w:r>
            <w:r>
              <w:t>%</w:t>
            </w:r>
          </w:p>
        </w:tc>
      </w:tr>
      <w:tr w:rsidR="00435B80" w14:paraId="6EC4D499" w14:textId="77777777" w:rsidTr="00BD4C3D">
        <w:trPr>
          <w:trHeight w:val="969"/>
        </w:trPr>
        <w:tc>
          <w:tcPr>
            <w:tcW w:w="4634" w:type="dxa"/>
            <w:shd w:val="clear" w:color="auto" w:fill="auto"/>
            <w:vAlign w:val="center"/>
          </w:tcPr>
          <w:p w14:paraId="35879D67" w14:textId="75559C22" w:rsidR="00435B80" w:rsidRDefault="00435B80" w:rsidP="00435B80">
            <w:pPr>
              <w:jc w:val="center"/>
            </w:pPr>
            <w:r>
              <w:lastRenderedPageBreak/>
              <w:t>II Pomiar – Liczba miejsc pracy objętych analizą w ramach II pomiaru (miejsca pracy powstałe między 1.01.2019 – 31.12.2020)</w:t>
            </w:r>
          </w:p>
        </w:tc>
        <w:tc>
          <w:tcPr>
            <w:tcW w:w="4328" w:type="dxa"/>
            <w:shd w:val="clear" w:color="auto" w:fill="auto"/>
            <w:vAlign w:val="center"/>
          </w:tcPr>
          <w:p w14:paraId="2EAE461F" w14:textId="24F7E3B9" w:rsidR="00435B80" w:rsidRDefault="002578F2" w:rsidP="00435B80">
            <w:pPr>
              <w:jc w:val="center"/>
            </w:pPr>
            <w:r>
              <w:t>237</w:t>
            </w:r>
          </w:p>
        </w:tc>
      </w:tr>
      <w:tr w:rsidR="00435B80" w14:paraId="597D9C27" w14:textId="77777777" w:rsidTr="00BD4C3D">
        <w:trPr>
          <w:trHeight w:val="969"/>
        </w:trPr>
        <w:tc>
          <w:tcPr>
            <w:tcW w:w="4634" w:type="dxa"/>
            <w:shd w:val="clear" w:color="auto" w:fill="auto"/>
            <w:vAlign w:val="center"/>
          </w:tcPr>
          <w:p w14:paraId="36C122CC" w14:textId="558C113B" w:rsidR="00435B80" w:rsidRDefault="00435B80" w:rsidP="00435B80">
            <w:pPr>
              <w:jc w:val="center"/>
            </w:pPr>
            <w:r>
              <w:t>II Pomiar – Liczba miejsc pracy objętych analizą istniejących co najmniej 30 miesięcy</w:t>
            </w:r>
          </w:p>
        </w:tc>
        <w:tc>
          <w:tcPr>
            <w:tcW w:w="4328" w:type="dxa"/>
            <w:shd w:val="clear" w:color="auto" w:fill="auto"/>
            <w:vAlign w:val="center"/>
          </w:tcPr>
          <w:p w14:paraId="2A60AA9A" w14:textId="632153B0" w:rsidR="00435B80" w:rsidRDefault="002578F2" w:rsidP="00435B80">
            <w:pPr>
              <w:jc w:val="center"/>
            </w:pPr>
            <w:r>
              <w:t>199</w:t>
            </w:r>
          </w:p>
        </w:tc>
      </w:tr>
      <w:tr w:rsidR="00435B80" w14:paraId="151C210B" w14:textId="77777777" w:rsidTr="00BD4C3D">
        <w:trPr>
          <w:trHeight w:val="969"/>
        </w:trPr>
        <w:tc>
          <w:tcPr>
            <w:tcW w:w="4634" w:type="dxa"/>
            <w:shd w:val="clear" w:color="auto" w:fill="auto"/>
            <w:vAlign w:val="center"/>
          </w:tcPr>
          <w:p w14:paraId="78844FB1" w14:textId="6D65EDDB" w:rsidR="00435B80" w:rsidRDefault="00435B80" w:rsidP="00435B80">
            <w:pPr>
              <w:jc w:val="center"/>
            </w:pPr>
            <w:r>
              <w:t>II Pomiar – Odsetek miejsc pracy objętych analizą istniejących co najmniej 30 miesięcy</w:t>
            </w:r>
          </w:p>
        </w:tc>
        <w:tc>
          <w:tcPr>
            <w:tcW w:w="4328" w:type="dxa"/>
            <w:shd w:val="clear" w:color="auto" w:fill="auto"/>
            <w:vAlign w:val="center"/>
          </w:tcPr>
          <w:p w14:paraId="06F2365C" w14:textId="45F8C0F3" w:rsidR="00435B80" w:rsidRDefault="002578F2" w:rsidP="00435B80">
            <w:pPr>
              <w:jc w:val="center"/>
            </w:pPr>
            <w:r>
              <w:t>84</w:t>
            </w:r>
            <w:r w:rsidR="00435B80">
              <w:t>%</w:t>
            </w:r>
          </w:p>
        </w:tc>
      </w:tr>
      <w:tr w:rsidR="00435B80" w14:paraId="53059D3D" w14:textId="77777777" w:rsidTr="001D69EE">
        <w:trPr>
          <w:trHeight w:val="210"/>
        </w:trPr>
        <w:tc>
          <w:tcPr>
            <w:tcW w:w="4634" w:type="dxa"/>
            <w:vAlign w:val="center"/>
          </w:tcPr>
          <w:p w14:paraId="63C5F509" w14:textId="4FE422B7" w:rsidR="00435B80" w:rsidRDefault="00435B80" w:rsidP="00435B80">
            <w:pPr>
              <w:jc w:val="center"/>
            </w:pPr>
            <w:r>
              <w:t xml:space="preserve">Skumulowana wartość wskaźnika </w:t>
            </w:r>
            <w:r w:rsidRPr="006E06B0">
              <w:rPr>
                <w:i/>
                <w:iCs/>
              </w:rPr>
              <w:t>Liczba miejsc pracy istniejących co najmniej 30 miesięcy, utworzonych w przedsiębiorstwach społecznych</w:t>
            </w:r>
          </w:p>
        </w:tc>
        <w:tc>
          <w:tcPr>
            <w:tcW w:w="4328" w:type="dxa"/>
            <w:vAlign w:val="center"/>
          </w:tcPr>
          <w:p w14:paraId="3C563A41" w14:textId="0EC524BF" w:rsidR="00435B80" w:rsidRDefault="00652A69" w:rsidP="00435B80">
            <w:pPr>
              <w:jc w:val="center"/>
            </w:pPr>
            <w:r>
              <w:t>700 (</w:t>
            </w:r>
            <w:r w:rsidR="002578F2">
              <w:t>81,3%</w:t>
            </w:r>
            <w:r>
              <w:t>)</w:t>
            </w:r>
          </w:p>
        </w:tc>
      </w:tr>
      <w:tr w:rsidR="00435B80" w14:paraId="7C097B0C" w14:textId="77777777" w:rsidTr="001D69EE">
        <w:trPr>
          <w:trHeight w:val="210"/>
        </w:trPr>
        <w:tc>
          <w:tcPr>
            <w:tcW w:w="4634" w:type="dxa"/>
            <w:vAlign w:val="center"/>
          </w:tcPr>
          <w:p w14:paraId="01440D7A" w14:textId="1206E479" w:rsidR="00435B80" w:rsidRDefault="00435B80" w:rsidP="00435B80">
            <w:pPr>
              <w:jc w:val="center"/>
            </w:pPr>
            <w:r>
              <w:t xml:space="preserve">Ocena uzyskanej wartości wskaźnika </w:t>
            </w:r>
          </w:p>
        </w:tc>
        <w:tc>
          <w:tcPr>
            <w:tcW w:w="4328" w:type="dxa"/>
            <w:vAlign w:val="center"/>
          </w:tcPr>
          <w:p w14:paraId="2AC5A9A2" w14:textId="2D77BA4B" w:rsidR="00435B80" w:rsidRDefault="00435B80" w:rsidP="00435B80">
            <w:pPr>
              <w:jc w:val="center"/>
            </w:pPr>
            <w:r>
              <w:t xml:space="preserve">Osiągnięto wartość wskaźnika powyżej zakładanej wartości. </w:t>
            </w:r>
          </w:p>
        </w:tc>
      </w:tr>
    </w:tbl>
    <w:p w14:paraId="196E0DE5" w14:textId="7A446357" w:rsidR="001C3CFB" w:rsidRDefault="001C3CFB" w:rsidP="001C3CFB">
      <w:pPr>
        <w:pStyle w:val="Legenda"/>
      </w:pPr>
      <w:r>
        <w:t>Opracowanie własne na podstawie badania CATI/CAWI wśród przedsiębiorstw społecznych przeprowadzonego w ramach</w:t>
      </w:r>
      <w:r w:rsidR="00435B80">
        <w:t xml:space="preserve"> I i</w:t>
      </w:r>
      <w:r>
        <w:t xml:space="preserve"> I</w:t>
      </w:r>
      <w:r w:rsidR="00435B80">
        <w:t>I pomiaru.</w:t>
      </w:r>
    </w:p>
    <w:p w14:paraId="2E17D0C6" w14:textId="77777777" w:rsidR="001C3CFB" w:rsidRDefault="001C3CFB" w:rsidP="001C3CFB"/>
    <w:p w14:paraId="62B119D0" w14:textId="3FDD5B39" w:rsidR="001C3CFB" w:rsidRDefault="001C3CFB" w:rsidP="001C3CFB">
      <w:r w:rsidRPr="004243CE">
        <w:t xml:space="preserve">Wartości wskaźnika wyliczone w ramach I pomiaru realizowanego w 2021 roku różnią się w podziale na subregiony (OWESy) realizujące wsparcie na rzecz tworzenia miejsc pracy w przedsiębiorstwach społecznych na terenie województwa </w:t>
      </w:r>
      <w:r>
        <w:t>podkarpackiego</w:t>
      </w:r>
      <w:r w:rsidRPr="004243CE">
        <w:t xml:space="preserve">. Miejsca pracy utworzone </w:t>
      </w:r>
      <w:r>
        <w:t xml:space="preserve">w ramach Podkarpackiego Regionalnego Ośrodka Wsparcia Ekonomii Społecznej </w:t>
      </w:r>
      <w:r w:rsidRPr="004243CE">
        <w:t xml:space="preserve">charakteryzują się wyższym odsetkiem miejsc pracy, które istniały co najmniej 30 miesięcy niż pozostałe </w:t>
      </w:r>
      <w:r>
        <w:t>OWES-y</w:t>
      </w:r>
      <w:r w:rsidRPr="004243CE">
        <w:t>.</w:t>
      </w:r>
      <w:r w:rsidR="008C48A2">
        <w:t xml:space="preserve"> Podczas drugiego </w:t>
      </w:r>
      <w:r w:rsidR="00DC6016">
        <w:t xml:space="preserve">pomiaru wartość wskaźnika w subregionach wypadła różnie. Najwyższą wartość wskaźnika osiągnął Rzeszowski Ośrodek Wsparcia Ekonomii Społecznej. </w:t>
      </w:r>
    </w:p>
    <w:p w14:paraId="0193F3D8" w14:textId="77777777" w:rsidR="002578F2" w:rsidRDefault="001C3CFB" w:rsidP="008C44A2">
      <w:pPr>
        <w:pStyle w:val="Legenda"/>
      </w:pPr>
      <w:r>
        <w:rPr>
          <w:noProof/>
          <w:lang w:eastAsia="pl-PL"/>
        </w:rPr>
        <w:drawing>
          <wp:inline distT="0" distB="0" distL="0" distR="0" wp14:anchorId="3E04371D" wp14:editId="37B6EF29">
            <wp:extent cx="5652654" cy="2588821"/>
            <wp:effectExtent l="0" t="0" r="5715" b="2540"/>
            <wp:docPr id="61" name="Wykres 61" descr="Wykres przedstawiający Wartość wskaźnika Liczba miejsc pracy istniejących co najmniej 30 miesięcy, utworzonych w przedsiębiorstwach społecznych w podziale na OWES – podkarpackie:&#10;Podkarpacki Ośrodek Wsparcia Ekonomii Społecznej 75%&#10;Podkarpacki Regionalny Ośrodek Wsparcia Ekonomii Społecznej 87%&#10;Rzeszowski Ośrodek Wsparcia Ekonomii Społecznej 78%">
              <a:extLst xmlns:a="http://schemas.openxmlformats.org/drawingml/2006/main">
                <a:ext uri="{FF2B5EF4-FFF2-40B4-BE49-F238E27FC236}">
                  <a16:creationId xmlns:a16="http://schemas.microsoft.com/office/drawing/2014/main" id="{EF176D95-1C3D-49A3-AE37-9D69FFA718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43EAC">
        <w:t xml:space="preserve"> </w:t>
      </w:r>
    </w:p>
    <w:p w14:paraId="6E599C96" w14:textId="77777777" w:rsidR="002578F2" w:rsidRDefault="002578F2" w:rsidP="002578F2">
      <w:pPr>
        <w:pStyle w:val="Legenda"/>
      </w:pPr>
      <w:r>
        <w:lastRenderedPageBreak/>
        <w:t>Opracowanie własne na podstawie badania CATI/CAWI wśród przedsiębiorstw społecznych przeprowadzonego w ramach I pomiaru. N=149</w:t>
      </w:r>
    </w:p>
    <w:p w14:paraId="2CA4078E" w14:textId="23FE5041" w:rsidR="00435B80" w:rsidRDefault="00435B80" w:rsidP="008C44A2">
      <w:pPr>
        <w:pStyle w:val="Legenda"/>
      </w:pPr>
      <w:r>
        <w:rPr>
          <w:noProof/>
          <w:lang w:eastAsia="pl-PL"/>
        </w:rPr>
        <w:drawing>
          <wp:inline distT="0" distB="0" distL="0" distR="0" wp14:anchorId="3637CDD4" wp14:editId="7D4C1AE9">
            <wp:extent cx="5705475" cy="2667000"/>
            <wp:effectExtent l="0" t="0" r="0" b="0"/>
            <wp:docPr id="9" name="Wykres 9"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B62BA3B1-CB5A-404C-B108-5BF06AE773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1C7B65" w14:textId="713A7744" w:rsidR="001C3CFB" w:rsidRDefault="001C3CFB" w:rsidP="008C44A2">
      <w:pPr>
        <w:pStyle w:val="Legenda"/>
      </w:pPr>
      <w:r>
        <w:t>Opracowanie własne na podstawie badania CATI/CAWI wśród przedsiębiorstw społeczn</w:t>
      </w:r>
      <w:r w:rsidR="002578F2">
        <w:t xml:space="preserve">ych przeprowadzonego w ramach II </w:t>
      </w:r>
      <w:r>
        <w:t xml:space="preserve">pomiaru. </w:t>
      </w:r>
      <w:r w:rsidR="008C44A2">
        <w:t>N=</w:t>
      </w:r>
      <w:r w:rsidR="002578F2">
        <w:t>52</w:t>
      </w:r>
    </w:p>
    <w:p w14:paraId="6BB6C574" w14:textId="15190490" w:rsidR="001C3CFB" w:rsidRDefault="001C3CFB" w:rsidP="001C3CFB">
      <w:r>
        <w:t xml:space="preserve">Miejsca pracy, które powstały dzięki wsparciu z RPO Województwa Podkarpackiego na lata 2014-2020 charakteryzują się bardzo dużą przeżywalnością jeśli chodzi o okres objęty analizą (30 miesięcy). Analiza likwidowanych miejsc pracy pozwoliła </w:t>
      </w:r>
      <w:r w:rsidR="00DC6016">
        <w:t>zauważyć</w:t>
      </w:r>
      <w:r>
        <w:t>, że kluczowym momentem jest pierwsze 12 miesięcy, kiedy to likwidowano niewiele miejsc pracy. Jeśli miejsca pracy były likwidowane, to najczęściej po pierwszym roku od utworzenia tego miejsca pracy (</w:t>
      </w:r>
      <w:r w:rsidR="00DC6016">
        <w:t>6</w:t>
      </w:r>
      <w:r>
        <w:t>8% likwidowanych miejsc pracy zostało zlikwidowane między 12 a 24 miesiącem od ich utworzenia).</w:t>
      </w:r>
      <w:r w:rsidR="008C44A2">
        <w:t xml:space="preserve"> </w:t>
      </w:r>
    </w:p>
    <w:p w14:paraId="2E70B514" w14:textId="2CD9C644" w:rsidR="00435B80" w:rsidRDefault="001C3CFB" w:rsidP="001C3CFB">
      <w:pPr>
        <w:pStyle w:val="Legenda"/>
      </w:pPr>
      <w:r w:rsidRPr="00643EAC">
        <w:t xml:space="preserve"> </w:t>
      </w:r>
      <w:r w:rsidR="00435B80">
        <w:rPr>
          <w:noProof/>
          <w:lang w:eastAsia="pl-PL"/>
        </w:rPr>
        <w:drawing>
          <wp:inline distT="0" distB="0" distL="0" distR="0" wp14:anchorId="7DEF1D69" wp14:editId="3B10C7B4">
            <wp:extent cx="5667375" cy="2438400"/>
            <wp:effectExtent l="0" t="0" r="0" b="0"/>
            <wp:docPr id="10" name="Wykres 10" descr="Wykres prezentujący jak długo istniały stanowiska pracy, które zostały zlikwidowane.">
              <a:extLst xmlns:a="http://schemas.openxmlformats.org/drawingml/2006/main">
                <a:ext uri="{FF2B5EF4-FFF2-40B4-BE49-F238E27FC236}">
                  <a16:creationId xmlns:a16="http://schemas.microsoft.com/office/drawing/2014/main" id="{97532E74-9764-441D-8D4D-018FD54F95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DDD50B0" w14:textId="77777777" w:rsidR="002578F2" w:rsidRDefault="002578F2" w:rsidP="002578F2">
      <w:pPr>
        <w:pStyle w:val="Legenda"/>
      </w:pPr>
      <w:r>
        <w:t>Opracowanie własne na podstawie badania CATI/CAWI wśród przedsiębiorstw społecznych przeprowadzonego w ramach II pomiaru. N=52</w:t>
      </w:r>
    </w:p>
    <w:p w14:paraId="7A38FF00" w14:textId="77777777" w:rsidR="00E60ECB" w:rsidRDefault="00E60ECB" w:rsidP="00E60ECB">
      <w:pPr>
        <w:pStyle w:val="Nagwek2"/>
      </w:pPr>
      <w:r>
        <w:lastRenderedPageBreak/>
        <w:t xml:space="preserve">Charakterystyka wsparcia </w:t>
      </w:r>
    </w:p>
    <w:p w14:paraId="0CE1A2C9" w14:textId="2F72F1C5" w:rsidR="004D01EB" w:rsidRDefault="00E60ECB" w:rsidP="00E60ECB">
      <w:r>
        <w:t xml:space="preserve">W województwie </w:t>
      </w:r>
      <w:r w:rsidR="007C20B7">
        <w:t>podkarpackim</w:t>
      </w:r>
      <w:r>
        <w:t xml:space="preserve"> wspierane przedsiębiorstwa społeczne działają najczęściej</w:t>
      </w:r>
      <w:r w:rsidR="004D01EB">
        <w:t xml:space="preserve"> w branży gastronomia (</w:t>
      </w:r>
      <w:r w:rsidR="00DC6016">
        <w:t>40</w:t>
      </w:r>
      <w:r>
        <w:t xml:space="preserve">%). W grupie podmiotów, które zostały objęte analizą istnieje duże zróżnicowanie jeśli chodzi o obszary działalności przedsiębiorstw społecznych wspartych w ramach interwencji. Zauważalne jest, że wspierane były podmioty z branż takich jak </w:t>
      </w:r>
      <w:r w:rsidR="00DC6016">
        <w:t xml:space="preserve">m.in. kultura i edukacja (15%), </w:t>
      </w:r>
      <w:r w:rsidR="004D01EB">
        <w:t>rekreacja, turystyka i zakwaterowanie (13%),</w:t>
      </w:r>
      <w:r w:rsidR="00DC6016">
        <w:t xml:space="preserve"> budownictwo (13%),</w:t>
      </w:r>
      <w:r w:rsidR="004D01EB">
        <w:t xml:space="preserve"> </w:t>
      </w:r>
      <w:r w:rsidR="00DC6016">
        <w:t>dom i ogród</w:t>
      </w:r>
      <w:r w:rsidR="004D01EB">
        <w:t xml:space="preserve"> (1</w:t>
      </w:r>
      <w:r w:rsidR="00DC6016">
        <w:t>2%).</w:t>
      </w:r>
    </w:p>
    <w:p w14:paraId="7E08B36E" w14:textId="06202C72" w:rsidR="00435B80" w:rsidRPr="00E71F3E" w:rsidRDefault="00435B80" w:rsidP="00E60ECB">
      <w:r>
        <w:rPr>
          <w:noProof/>
          <w:lang w:eastAsia="pl-PL"/>
        </w:rPr>
        <w:drawing>
          <wp:inline distT="0" distB="0" distL="0" distR="0" wp14:anchorId="1B55BE4C" wp14:editId="43372470">
            <wp:extent cx="5905500" cy="3543300"/>
            <wp:effectExtent l="0" t="0" r="0" b="0"/>
            <wp:docPr id="11" name="Wykres 11" descr="Wykres prezentujący obszary działalności przedsiębiorstw społecznych.">
              <a:extLst xmlns:a="http://schemas.openxmlformats.org/drawingml/2006/main">
                <a:ext uri="{FF2B5EF4-FFF2-40B4-BE49-F238E27FC236}">
                  <a16:creationId xmlns:a16="http://schemas.microsoft.com/office/drawing/2014/main" id="{E5E18237-4D90-4568-8B73-0206736FB4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E6D347F" w14:textId="77777777" w:rsidR="002578F2" w:rsidRDefault="002578F2" w:rsidP="002578F2">
      <w:pPr>
        <w:pStyle w:val="Legenda"/>
      </w:pPr>
      <w:r>
        <w:t>Opracowanie własne na podstawie badania CATI/CAWI wśród przedsiębiorstw społecznych przeprowadzonego w ramach II pomiaru. N=52</w:t>
      </w:r>
    </w:p>
    <w:p w14:paraId="3B5BBDD9" w14:textId="72B63406" w:rsidR="00E60ECB" w:rsidRDefault="00E60ECB" w:rsidP="00E60ECB">
      <w:r>
        <w:t>Charakterystyka osób, które zostały zatrudnione na utworzonych w przedsiębiorstwach społecznych miejscach pracy, wyka</w:t>
      </w:r>
      <w:r w:rsidR="00DC6016">
        <w:t>zuje nadreprezentację kobiet (61</w:t>
      </w:r>
      <w:r>
        <w:t>%). Ponadto, analizując strukturę wieku osób zatrudnianych zauważyć można, że najw</w:t>
      </w:r>
      <w:r w:rsidR="00CE2C3F">
        <w:t>ięcej osób zatrudniono w wieku 35-45 lat (3</w:t>
      </w:r>
      <w:r w:rsidR="00DC6016">
        <w:t>3</w:t>
      </w:r>
      <w:r>
        <w:t xml:space="preserve">%). </w:t>
      </w:r>
      <w:r w:rsidR="00DC6016">
        <w:t>Najmniej zatrudnionych zostało</w:t>
      </w:r>
      <w:r>
        <w:t xml:space="preserve"> </w:t>
      </w:r>
      <w:r w:rsidR="00DC6016">
        <w:t xml:space="preserve">osób </w:t>
      </w:r>
      <w:r>
        <w:t>w wieku powyżej 55 roku życia (</w:t>
      </w:r>
      <w:r w:rsidR="00DC6016">
        <w:t>10</w:t>
      </w:r>
      <w:r>
        <w:t xml:space="preserve">%). Osoby zatrudniane na tworzonych miejscach pracy </w:t>
      </w:r>
      <w:r w:rsidR="00DC6016">
        <w:t>rzadko</w:t>
      </w:r>
      <w:r>
        <w:t xml:space="preserve"> były osobami pracującymi</w:t>
      </w:r>
      <w:r w:rsidR="00DC6016">
        <w:t xml:space="preserve"> – jedynie 2%</w:t>
      </w:r>
      <w:r>
        <w:t xml:space="preserve">.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7C20B7">
        <w:t>podkarpackim</w:t>
      </w:r>
      <w:r>
        <w:t xml:space="preserve"> osoby z niepełnosprawnościami stanowiły </w:t>
      </w:r>
      <w:r w:rsidR="00DC6016">
        <w:t>9</w:t>
      </w:r>
      <w:r>
        <w:t xml:space="preserve">% wszystkich pracowników zajmujących stanowiska utworzone w ten sposób. Ponadto, w strukturze osób </w:t>
      </w:r>
      <w:r>
        <w:lastRenderedPageBreak/>
        <w:t xml:space="preserve">zatrudnionych na utworzonych miejscach pracy dominują osoby z wykształceniem </w:t>
      </w:r>
      <w:r w:rsidR="00DC6016">
        <w:t xml:space="preserve">średnim ogólnokształcącym (32%) i </w:t>
      </w:r>
      <w:r w:rsidR="00CE2C3F">
        <w:t>zawodowym (</w:t>
      </w:r>
      <w:r w:rsidR="00DC6016">
        <w:t>24%).</w:t>
      </w:r>
    </w:p>
    <w:p w14:paraId="498F0DAA" w14:textId="70D7CF7E" w:rsidR="00E60ECB" w:rsidRDefault="00435B80" w:rsidP="00E60ECB">
      <w:r w:rsidRPr="00435B80">
        <w:rPr>
          <w:noProof/>
          <w:lang w:eastAsia="pl-PL"/>
        </w:rPr>
        <w:t xml:space="preserve"> </w:t>
      </w:r>
      <w:r>
        <w:rPr>
          <w:noProof/>
          <w:lang w:eastAsia="pl-PL"/>
        </w:rPr>
        <w:drawing>
          <wp:inline distT="0" distB="0" distL="0" distR="0" wp14:anchorId="75AA22C3" wp14:editId="597EC11F">
            <wp:extent cx="2724150" cy="2562225"/>
            <wp:effectExtent l="0" t="0" r="0" b="0"/>
            <wp:docPr id="12" name="Wykres 12" descr="Wykres prezentujący jakiej płci byli pracownicy zajmujący utworzone stanowiska.">
              <a:extLst xmlns:a="http://schemas.openxmlformats.org/drawingml/2006/main">
                <a:ext uri="{FF2B5EF4-FFF2-40B4-BE49-F238E27FC236}">
                  <a16:creationId xmlns:a16="http://schemas.microsoft.com/office/drawing/2014/main" id="{947F8BDF-1E1F-469A-AC2E-C890450A60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435B80">
        <w:rPr>
          <w:noProof/>
          <w:lang w:eastAsia="pl-PL"/>
        </w:rPr>
        <w:t xml:space="preserve"> </w:t>
      </w:r>
      <w:r>
        <w:rPr>
          <w:noProof/>
          <w:lang w:eastAsia="pl-PL"/>
        </w:rPr>
        <w:drawing>
          <wp:inline distT="0" distB="0" distL="0" distR="0" wp14:anchorId="19E03D43" wp14:editId="2D7A4D58">
            <wp:extent cx="2809875" cy="2657475"/>
            <wp:effectExtent l="0" t="0" r="0" b="0"/>
            <wp:docPr id="13" name="Wykres 13" descr="Wykres prezentujący w jakim wieku byli pracownicy zajmujący utworzone stanowiska.">
              <a:extLst xmlns:a="http://schemas.openxmlformats.org/drawingml/2006/main">
                <a:ext uri="{FF2B5EF4-FFF2-40B4-BE49-F238E27FC236}">
                  <a16:creationId xmlns:a16="http://schemas.microsoft.com/office/drawing/2014/main" id="{5EA4300C-9FF7-427D-9B85-538D91FA8E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00C18D0" w14:textId="6191EC99" w:rsidR="00E60ECB" w:rsidRDefault="00435B80" w:rsidP="00E60ECB">
      <w:r w:rsidRPr="00435B80">
        <w:rPr>
          <w:noProof/>
          <w:lang w:eastAsia="pl-PL"/>
        </w:rPr>
        <w:t xml:space="preserve"> </w:t>
      </w:r>
      <w:r>
        <w:rPr>
          <w:noProof/>
          <w:lang w:eastAsia="pl-PL"/>
        </w:rPr>
        <w:drawing>
          <wp:inline distT="0" distB="0" distL="0" distR="0" wp14:anchorId="504CBE1B" wp14:editId="5D88A132">
            <wp:extent cx="2828925" cy="2686050"/>
            <wp:effectExtent l="0" t="0" r="0" b="0"/>
            <wp:docPr id="14" name="Wykres 14" descr="Wykres prezentujący jaki status na rynku, posiadali pracownicy zajmujący utworzone stanowiska.">
              <a:extLst xmlns:a="http://schemas.openxmlformats.org/drawingml/2006/main">
                <a:ext uri="{FF2B5EF4-FFF2-40B4-BE49-F238E27FC236}">
                  <a16:creationId xmlns:a16="http://schemas.microsoft.com/office/drawing/2014/main" id="{8815D492-B2C8-4365-8309-68E63C617F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435B80">
        <w:rPr>
          <w:noProof/>
          <w:lang w:eastAsia="pl-PL"/>
        </w:rPr>
        <w:t xml:space="preserve"> </w:t>
      </w:r>
      <w:r>
        <w:rPr>
          <w:noProof/>
          <w:lang w:eastAsia="pl-PL"/>
        </w:rPr>
        <w:drawing>
          <wp:inline distT="0" distB="0" distL="0" distR="0" wp14:anchorId="5DD55258" wp14:editId="1F997434">
            <wp:extent cx="2695575" cy="2657475"/>
            <wp:effectExtent l="0" t="0" r="0" b="0"/>
            <wp:docPr id="15" name="Wykres 15"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351A601F-DE83-4F75-BB44-31CF8FACD2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CE3806E" w14:textId="001F255A" w:rsidR="00435B80" w:rsidRDefault="008C44A2" w:rsidP="008C44A2">
      <w:pPr>
        <w:pStyle w:val="Legenda"/>
      </w:pPr>
      <w:r w:rsidRPr="008C44A2">
        <w:lastRenderedPageBreak/>
        <w:t xml:space="preserve"> </w:t>
      </w:r>
      <w:r w:rsidR="00435B80">
        <w:rPr>
          <w:noProof/>
          <w:lang w:eastAsia="pl-PL"/>
        </w:rPr>
        <w:drawing>
          <wp:inline distT="0" distB="0" distL="0" distR="0" wp14:anchorId="6BCD0B6B" wp14:editId="695421BC">
            <wp:extent cx="5534025" cy="2376170"/>
            <wp:effectExtent l="0" t="0" r="0" b="5080"/>
            <wp:docPr id="16" name="Wykres 16" descr="Wykres prezentujący jakie wykształcenie posiadali pracownicy zajmujący utworzone stanowiska.">
              <a:extLst xmlns:a="http://schemas.openxmlformats.org/drawingml/2006/main">
                <a:ext uri="{FF2B5EF4-FFF2-40B4-BE49-F238E27FC236}">
                  <a16:creationId xmlns:a16="http://schemas.microsoft.com/office/drawing/2014/main" id="{69BEAAEA-771B-4BD7-8756-96EA7419F4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E83CDB1" w14:textId="77777777" w:rsidR="002578F2" w:rsidRDefault="002578F2" w:rsidP="002578F2">
      <w:pPr>
        <w:pStyle w:val="Legenda"/>
      </w:pPr>
      <w:r>
        <w:t>Opracowanie własne na podstawie badania CATI/CAWI wśród przedsiębiorstw społecznych przeprowadzonego w ramach II pomiaru. N=52</w:t>
      </w:r>
    </w:p>
    <w:p w14:paraId="383135DD" w14:textId="507321A9" w:rsidR="00435B80" w:rsidRDefault="00E60ECB" w:rsidP="002578F2">
      <w:r>
        <w:t xml:space="preserve">Analizując strukturę demograficzną osób zatrudnionych na utworzonych miejscach pracy zauważyć można relatywnie duże zróżnicowanie. W przypadku interwencji realizowanej w ramach RPO Województwa </w:t>
      </w:r>
      <w:r w:rsidR="007C20B7">
        <w:t>Podkarpackiego</w:t>
      </w:r>
      <w:r>
        <w:t xml:space="preserve"> można zauważyć, że najczęściej występującym problemem, który utrudniał znalezienie pracy osobom, które zostały zatrudnione na powstałych w ramach interwencji miejscach pracy b</w:t>
      </w:r>
      <w:r w:rsidR="00EE0C80">
        <w:t>yło długotrwałe bezrobocie (</w:t>
      </w:r>
      <w:r w:rsidR="00DC6016">
        <w:t>58</w:t>
      </w:r>
      <w:r>
        <w:t xml:space="preserve">%). Zauważyć zatem można, że wsparcie zostało do osób, które przede wszystkim samodzielnie miały problem ze znalezieniem zatrudnienia. Inne problemy, które stanowią bariery na rynku pracy </w:t>
      </w:r>
      <w:r w:rsidR="00DC6016">
        <w:t>to m.in. wiek po 50 roku życia (</w:t>
      </w:r>
      <w:r w:rsidR="000D4FFA">
        <w:t>29%), czy młody wiek (27%)</w:t>
      </w:r>
      <w:r>
        <w:t xml:space="preserve">. Interwencja w postaci wsparcia na rzecz tworzenia nowych miejsc pracy w przedsiębiorstwach społecznych stanowi zatem istotne narzędzie aktywizacji zawodowej. </w:t>
      </w:r>
    </w:p>
    <w:p w14:paraId="4204CE5E" w14:textId="77777777" w:rsidR="00435B80" w:rsidRDefault="00435B80" w:rsidP="008C44A2">
      <w:pPr>
        <w:pStyle w:val="Legenda"/>
      </w:pPr>
      <w:r>
        <w:rPr>
          <w:noProof/>
          <w:lang w:eastAsia="pl-PL"/>
        </w:rPr>
        <w:drawing>
          <wp:inline distT="0" distB="0" distL="0" distR="0" wp14:anchorId="291A1F32" wp14:editId="08E70F27">
            <wp:extent cx="5772150" cy="3209925"/>
            <wp:effectExtent l="0" t="0" r="0" b="0"/>
            <wp:docPr id="17" name="Wykres 17"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E7246802-3B1C-4B3D-B8C0-31767360F1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176EC52" w14:textId="77777777" w:rsidR="002578F2" w:rsidRDefault="002578F2" w:rsidP="002578F2">
      <w:pPr>
        <w:pStyle w:val="Legenda"/>
      </w:pPr>
      <w:bookmarkStart w:id="1" w:name="_Hlk93924604"/>
      <w:r>
        <w:lastRenderedPageBreak/>
        <w:t>Opracowanie własne na podstawie badania CATI/CAWI wśród przedsiębiorstw społecznych przeprowadzonego w ramach II pomiaru. N=52</w:t>
      </w:r>
    </w:p>
    <w:p w14:paraId="69B87E46" w14:textId="77777777" w:rsidR="007C20B7" w:rsidRDefault="007C20B7" w:rsidP="007C20B7">
      <w:pPr>
        <w:pStyle w:val="Nagwek2"/>
        <w:rPr>
          <w:b/>
          <w:bCs/>
          <w:color w:val="auto"/>
        </w:rPr>
      </w:pPr>
      <w:r w:rsidRPr="003E065D">
        <w:rPr>
          <w:b/>
          <w:bCs/>
          <w:color w:val="auto"/>
        </w:rPr>
        <w:t xml:space="preserve">Wnioski </w:t>
      </w:r>
    </w:p>
    <w:p w14:paraId="2BF178EA" w14:textId="00A8AFF5" w:rsidR="007C20B7" w:rsidRDefault="007C20B7">
      <w:r>
        <w:t xml:space="preserve">W przypadku RPO Województwa Podkarpackiego na lata 2014-2020 </w:t>
      </w:r>
      <w:r w:rsidR="000D4FFA">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zidentyfikowano przeżywal</w:t>
      </w:r>
      <w:r w:rsidR="000D4FFA">
        <w:t>ność miejsc pracy na poziomie 81,3</w:t>
      </w:r>
      <w:r>
        <w:t xml:space="preserve">%. W stosunku do zakładanych 33% jest to wartość znacznie większa, co wskazuje na to, że podejmowane działania skutecznie przyczyniają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podkarpackiego stanowiło przede wszystkim narzędzie aktywizacji zawodowej – najczęściej występującym problemem, który stanowił barierę dla osób zatrudnianych na utworzonych miejscach pracy było długotrwałe bezrobocie. </w:t>
      </w:r>
      <w:bookmarkEnd w:id="1"/>
    </w:p>
    <w:sectPr w:rsidR="007C20B7">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B12A" w14:textId="77777777" w:rsidR="008766CD" w:rsidRDefault="008766CD" w:rsidP="008C44A2">
      <w:pPr>
        <w:spacing w:after="0" w:line="240" w:lineRule="auto"/>
      </w:pPr>
      <w:r>
        <w:separator/>
      </w:r>
    </w:p>
  </w:endnote>
  <w:endnote w:type="continuationSeparator" w:id="0">
    <w:p w14:paraId="792AE3FD" w14:textId="77777777" w:rsidR="008766CD" w:rsidRDefault="008766CD" w:rsidP="008C4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4967024"/>
      <w:docPartObj>
        <w:docPartGallery w:val="Page Numbers (Bottom of Page)"/>
        <w:docPartUnique/>
      </w:docPartObj>
    </w:sdtPr>
    <w:sdtContent>
      <w:p w14:paraId="163A15FE" w14:textId="066E4281" w:rsidR="008C44A2" w:rsidRDefault="008C44A2">
        <w:pPr>
          <w:pStyle w:val="Stopka"/>
          <w:jc w:val="center"/>
        </w:pPr>
        <w:r>
          <w:fldChar w:fldCharType="begin"/>
        </w:r>
        <w:r>
          <w:instrText>PAGE   \* MERGEFORMAT</w:instrText>
        </w:r>
        <w:r>
          <w:fldChar w:fldCharType="separate"/>
        </w:r>
        <w:r w:rsidR="000D4FFA">
          <w:rPr>
            <w:noProof/>
          </w:rPr>
          <w:t>6</w:t>
        </w:r>
        <w:r>
          <w:fldChar w:fldCharType="end"/>
        </w:r>
      </w:p>
    </w:sdtContent>
  </w:sdt>
  <w:p w14:paraId="1CE15AE1" w14:textId="77777777" w:rsidR="008C44A2" w:rsidRDefault="008C44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7D4DE" w14:textId="77777777" w:rsidR="008766CD" w:rsidRDefault="008766CD" w:rsidP="008C44A2">
      <w:pPr>
        <w:spacing w:after="0" w:line="240" w:lineRule="auto"/>
      </w:pPr>
      <w:r>
        <w:separator/>
      </w:r>
    </w:p>
  </w:footnote>
  <w:footnote w:type="continuationSeparator" w:id="0">
    <w:p w14:paraId="0EBFB965" w14:textId="77777777" w:rsidR="008766CD" w:rsidRDefault="008766CD" w:rsidP="008C4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987C9" w14:textId="73C0D6F6" w:rsidR="00A56F3D" w:rsidRDefault="00BD4C3D">
    <w:pPr>
      <w:pStyle w:val="Nagwek"/>
    </w:pPr>
    <w:r>
      <w:rPr>
        <w:noProof/>
      </w:rPr>
      <w:drawing>
        <wp:inline distT="0" distB="0" distL="0" distR="0" wp14:anchorId="480382C5" wp14:editId="4F9EB2FB">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897286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CFB"/>
    <w:rsid w:val="000A7D69"/>
    <w:rsid w:val="000D4FFA"/>
    <w:rsid w:val="000D5362"/>
    <w:rsid w:val="00167512"/>
    <w:rsid w:val="001B462A"/>
    <w:rsid w:val="001C3CFB"/>
    <w:rsid w:val="001E6A27"/>
    <w:rsid w:val="002218A5"/>
    <w:rsid w:val="00227CED"/>
    <w:rsid w:val="00230C2D"/>
    <w:rsid w:val="002578F2"/>
    <w:rsid w:val="0033417B"/>
    <w:rsid w:val="00435B80"/>
    <w:rsid w:val="00454728"/>
    <w:rsid w:val="00476EF4"/>
    <w:rsid w:val="004978D1"/>
    <w:rsid w:val="004D01EB"/>
    <w:rsid w:val="00523ABC"/>
    <w:rsid w:val="005313C9"/>
    <w:rsid w:val="005841FD"/>
    <w:rsid w:val="005E4C0C"/>
    <w:rsid w:val="00652A69"/>
    <w:rsid w:val="00681849"/>
    <w:rsid w:val="006A138F"/>
    <w:rsid w:val="00792279"/>
    <w:rsid w:val="007936B3"/>
    <w:rsid w:val="007C20B7"/>
    <w:rsid w:val="00802286"/>
    <w:rsid w:val="008766CD"/>
    <w:rsid w:val="008C44A2"/>
    <w:rsid w:val="008C48A2"/>
    <w:rsid w:val="009F0FD2"/>
    <w:rsid w:val="00A56F3D"/>
    <w:rsid w:val="00AE6091"/>
    <w:rsid w:val="00B73313"/>
    <w:rsid w:val="00BD4C3D"/>
    <w:rsid w:val="00CE2C3F"/>
    <w:rsid w:val="00CF444A"/>
    <w:rsid w:val="00DC6016"/>
    <w:rsid w:val="00DF0F84"/>
    <w:rsid w:val="00E60ECB"/>
    <w:rsid w:val="00EB295C"/>
    <w:rsid w:val="00EE0C80"/>
    <w:rsid w:val="00F670B3"/>
    <w:rsid w:val="00F93B0F"/>
    <w:rsid w:val="00FD1FAC"/>
    <w:rsid w:val="00FE7F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75393"/>
  <w15:chartTrackingRefBased/>
  <w15:docId w15:val="{29288A85-1A03-42EA-A54B-F545E4C2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CFB"/>
    <w:pPr>
      <w:spacing w:line="276" w:lineRule="auto"/>
    </w:pPr>
    <w:rPr>
      <w:rFonts w:eastAsiaTheme="minorEastAsia"/>
      <w:sz w:val="24"/>
    </w:rPr>
  </w:style>
  <w:style w:type="paragraph" w:styleId="Nagwek1">
    <w:name w:val="heading 1"/>
    <w:basedOn w:val="Normalny"/>
    <w:next w:val="Normalny"/>
    <w:link w:val="Nagwek1Znak"/>
    <w:uiPriority w:val="9"/>
    <w:qFormat/>
    <w:rsid w:val="001C3CFB"/>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E60EC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1C3CFB"/>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C3CFB"/>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1C3CFB"/>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1C3CFB"/>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1C3C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E60ECB"/>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1E6A27"/>
    <w:rPr>
      <w:sz w:val="16"/>
      <w:szCs w:val="16"/>
    </w:rPr>
  </w:style>
  <w:style w:type="paragraph" w:styleId="Nagwek">
    <w:name w:val="header"/>
    <w:basedOn w:val="Normalny"/>
    <w:link w:val="NagwekZnak"/>
    <w:uiPriority w:val="99"/>
    <w:unhideWhenUsed/>
    <w:rsid w:val="008C44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44A2"/>
    <w:rPr>
      <w:rFonts w:eastAsiaTheme="minorEastAsia"/>
      <w:sz w:val="24"/>
    </w:rPr>
  </w:style>
  <w:style w:type="paragraph" w:styleId="Stopka">
    <w:name w:val="footer"/>
    <w:basedOn w:val="Normalny"/>
    <w:link w:val="StopkaZnak"/>
    <w:uiPriority w:val="99"/>
    <w:unhideWhenUsed/>
    <w:rsid w:val="008C44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44A2"/>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ustomXml" Target="../customXml/item3.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podkarpackie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WARTOSCI'!$A$31:$A$33</c:f>
              <c:strCache>
                <c:ptCount val="3"/>
                <c:pt idx="0">
                  <c:v>Podkarpacki Ośrodek Wsparcia Ekonomii Społecznej</c:v>
                </c:pt>
                <c:pt idx="1">
                  <c:v>Podkarpacki Regionalny Ośrodek Wsparcia Ekonomii Społecznej</c:v>
                </c:pt>
                <c:pt idx="2">
                  <c:v>Rzeszowski Ośrodek Wsparcia Ekonomii Społecznej</c:v>
                </c:pt>
              </c:strCache>
            </c:strRef>
          </c:cat>
          <c:val>
            <c:numRef>
              <c:f>'WG OWES WARTOSCI'!$D$31:$D$33</c:f>
              <c:numCache>
                <c:formatCode>0%</c:formatCode>
                <c:ptCount val="3"/>
                <c:pt idx="0">
                  <c:v>0.74782608695652175</c:v>
                </c:pt>
                <c:pt idx="1">
                  <c:v>0.87222222222222223</c:v>
                </c:pt>
                <c:pt idx="2">
                  <c:v>0.78419452887537999</c:v>
                </c:pt>
              </c:numCache>
            </c:numRef>
          </c:val>
          <c:extLst>
            <c:ext xmlns:c16="http://schemas.microsoft.com/office/drawing/2014/chart" uri="{C3380CC4-5D6E-409C-BE32-E72D297353CC}">
              <c16:uniqueId val="{00000000-E394-42CC-A14A-1FA8357B30A2}"/>
            </c:ext>
          </c:extLst>
        </c:ser>
        <c:dLbls>
          <c:showLegendKey val="0"/>
          <c:showVal val="1"/>
          <c:showCatName val="0"/>
          <c:showSerName val="0"/>
          <c:showPercent val="0"/>
          <c:showBubbleSize val="0"/>
        </c:dLbls>
        <c:gapWidth val="150"/>
        <c:overlap val="-25"/>
        <c:axId val="580722816"/>
        <c:axId val="580727520"/>
      </c:barChart>
      <c:catAx>
        <c:axId val="58072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7520"/>
        <c:crosses val="autoZero"/>
        <c:auto val="1"/>
        <c:lblAlgn val="ctr"/>
        <c:lblOffset val="100"/>
        <c:noMultiLvlLbl val="0"/>
      </c:catAx>
      <c:valAx>
        <c:axId val="580727520"/>
        <c:scaling>
          <c:orientation val="minMax"/>
          <c:min val="0"/>
        </c:scaling>
        <c:delete val="1"/>
        <c:axPos val="l"/>
        <c:numFmt formatCode="0%" sourceLinked="1"/>
        <c:majorTickMark val="out"/>
        <c:minorTickMark val="none"/>
        <c:tickLblPos val="nextTo"/>
        <c:crossAx val="5807228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bariery!$B$28</c:f>
              <c:strCache>
                <c:ptCount val="1"/>
                <c:pt idx="0">
                  <c:v>podkarpackie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bariery!$C$28:$N$28</c:f>
              <c:numCache>
                <c:formatCode>0%</c:formatCode>
                <c:ptCount val="12"/>
                <c:pt idx="0">
                  <c:v>7.6923076923076927E-2</c:v>
                </c:pt>
                <c:pt idx="1">
                  <c:v>5.7692307692307696E-2</c:v>
                </c:pt>
                <c:pt idx="2">
                  <c:v>0.26923076923076922</c:v>
                </c:pt>
                <c:pt idx="3">
                  <c:v>0.28846153846153844</c:v>
                </c:pt>
                <c:pt idx="4">
                  <c:v>0</c:v>
                </c:pt>
                <c:pt idx="5">
                  <c:v>0.13461538461538461</c:v>
                </c:pt>
                <c:pt idx="6">
                  <c:v>3.8461538461538464E-2</c:v>
                </c:pt>
                <c:pt idx="7">
                  <c:v>0.57692307692307687</c:v>
                </c:pt>
                <c:pt idx="8">
                  <c:v>3.8461538461538464E-2</c:v>
                </c:pt>
                <c:pt idx="9">
                  <c:v>0</c:v>
                </c:pt>
                <c:pt idx="10">
                  <c:v>0</c:v>
                </c:pt>
                <c:pt idx="11">
                  <c:v>0.13461538461538461</c:v>
                </c:pt>
              </c:numCache>
            </c:numRef>
          </c:val>
          <c:extLst>
            <c:ext xmlns:c16="http://schemas.microsoft.com/office/drawing/2014/chart" uri="{C3380CC4-5D6E-409C-BE32-E72D297353CC}">
              <c16:uniqueId val="{00000000-CAAD-465D-BEC9-D8E8DFAB6B71}"/>
            </c:ext>
          </c:extLst>
        </c:ser>
        <c:dLbls>
          <c:showLegendKey val="0"/>
          <c:showVal val="1"/>
          <c:showCatName val="0"/>
          <c:showSerName val="0"/>
          <c:showPercent val="0"/>
          <c:showBubbleSize val="0"/>
        </c:dLbls>
        <c:gapWidth val="150"/>
        <c:overlap val="-25"/>
        <c:axId val="580737320"/>
        <c:axId val="580735752"/>
      </c:barChart>
      <c:catAx>
        <c:axId val="58073732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5752"/>
        <c:crosses val="autoZero"/>
        <c:auto val="1"/>
        <c:lblAlgn val="ctr"/>
        <c:lblOffset val="100"/>
        <c:noMultiLvlLbl val="0"/>
      </c:catAx>
      <c:valAx>
        <c:axId val="580735752"/>
        <c:scaling>
          <c:orientation val="minMax"/>
        </c:scaling>
        <c:delete val="1"/>
        <c:axPos val="t"/>
        <c:numFmt formatCode="0%" sourceLinked="1"/>
        <c:majorTickMark val="none"/>
        <c:minorTickMark val="none"/>
        <c:tickLblPos val="nextTo"/>
        <c:crossAx val="5807373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podkarpackie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owes!$A$37:$A$39</c:f>
              <c:strCache>
                <c:ptCount val="3"/>
                <c:pt idx="0">
                  <c:v>Podkarpacki Ośrodek Wsparcia Ekonomii Społecznej</c:v>
                </c:pt>
                <c:pt idx="1">
                  <c:v>Podkarpacki Regionalny Ośrodek Wsparcia Ekonomii Społecznej</c:v>
                </c:pt>
                <c:pt idx="2">
                  <c:v>Rzeszowski Ośrodek Wsparcia Ekonomii Społecznej</c:v>
                </c:pt>
              </c:strCache>
            </c:strRef>
          </c:cat>
          <c:val>
            <c:numRef>
              <c:f>owes!$D$37:$D$39</c:f>
              <c:numCache>
                <c:formatCode>0%</c:formatCode>
                <c:ptCount val="3"/>
                <c:pt idx="0">
                  <c:v>0.78125</c:v>
                </c:pt>
                <c:pt idx="1">
                  <c:v>0.80136986301369861</c:v>
                </c:pt>
                <c:pt idx="2">
                  <c:v>0.96610169491525422</c:v>
                </c:pt>
              </c:numCache>
            </c:numRef>
          </c:val>
          <c:extLst>
            <c:ext xmlns:c16="http://schemas.microsoft.com/office/drawing/2014/chart" uri="{C3380CC4-5D6E-409C-BE32-E72D297353CC}">
              <c16:uniqueId val="{00000000-47B5-4FA3-AB68-EBB5CD07D82D}"/>
            </c:ext>
          </c:extLst>
        </c:ser>
        <c:dLbls>
          <c:showLegendKey val="0"/>
          <c:showVal val="1"/>
          <c:showCatName val="0"/>
          <c:showSerName val="0"/>
          <c:showPercent val="0"/>
          <c:showBubbleSize val="0"/>
        </c:dLbls>
        <c:gapWidth val="150"/>
        <c:overlap val="-25"/>
        <c:axId val="580728696"/>
        <c:axId val="580723992"/>
      </c:barChart>
      <c:catAx>
        <c:axId val="580728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3992"/>
        <c:crosses val="autoZero"/>
        <c:auto val="1"/>
        <c:lblAlgn val="ctr"/>
        <c:lblOffset val="100"/>
        <c:noMultiLvlLbl val="0"/>
      </c:catAx>
      <c:valAx>
        <c:axId val="580723992"/>
        <c:scaling>
          <c:orientation val="minMax"/>
        </c:scaling>
        <c:delete val="1"/>
        <c:axPos val="l"/>
        <c:numFmt formatCode="0%" sourceLinked="1"/>
        <c:majorTickMark val="none"/>
        <c:minorTickMark val="none"/>
        <c:tickLblPos val="nextTo"/>
        <c:crossAx val="58072869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Jak długo istniały stanowiska pracy, które zostały zlikwidowane? - podkarpackie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likwidowane!$B$13</c:f>
              <c:strCache>
                <c:ptCount val="1"/>
                <c:pt idx="0">
                  <c:v>podkarpackie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likwidowane!$C$13:$G$13</c:f>
              <c:numCache>
                <c:formatCode>0%</c:formatCode>
                <c:ptCount val="5"/>
                <c:pt idx="0">
                  <c:v>0</c:v>
                </c:pt>
                <c:pt idx="1">
                  <c:v>1.6949152542372881E-2</c:v>
                </c:pt>
                <c:pt idx="2">
                  <c:v>0.67796610169491522</c:v>
                </c:pt>
                <c:pt idx="3">
                  <c:v>0.20338983050847459</c:v>
                </c:pt>
                <c:pt idx="4">
                  <c:v>0.10169491525423729</c:v>
                </c:pt>
              </c:numCache>
            </c:numRef>
          </c:val>
          <c:extLst>
            <c:ext xmlns:c16="http://schemas.microsoft.com/office/drawing/2014/chart" uri="{C3380CC4-5D6E-409C-BE32-E72D297353CC}">
              <c16:uniqueId val="{00000000-F41B-4F12-85AB-6C3096AB222B}"/>
            </c:ext>
          </c:extLst>
        </c:ser>
        <c:dLbls>
          <c:showLegendKey val="0"/>
          <c:showVal val="1"/>
          <c:showCatName val="0"/>
          <c:showSerName val="0"/>
          <c:showPercent val="0"/>
          <c:showBubbleSize val="0"/>
        </c:dLbls>
        <c:gapWidth val="150"/>
        <c:overlap val="-25"/>
        <c:axId val="580724384"/>
        <c:axId val="580724776"/>
      </c:barChart>
      <c:catAx>
        <c:axId val="58072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4776"/>
        <c:crosses val="autoZero"/>
        <c:auto val="1"/>
        <c:lblAlgn val="ctr"/>
        <c:lblOffset val="100"/>
        <c:noMultiLvlLbl val="0"/>
      </c:catAx>
      <c:valAx>
        <c:axId val="580724776"/>
        <c:scaling>
          <c:orientation val="minMax"/>
        </c:scaling>
        <c:delete val="1"/>
        <c:axPos val="l"/>
        <c:numFmt formatCode="0%" sourceLinked="1"/>
        <c:majorTickMark val="none"/>
        <c:minorTickMark val="none"/>
        <c:tickLblPos val="nextTo"/>
        <c:crossAx val="5807243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podkarpackie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branze!$K$23</c:f>
              <c:strCache>
                <c:ptCount val="1"/>
                <c:pt idx="0">
                  <c:v>podkarpackie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branze!$K$24:$K$40</c:f>
              <c:numCache>
                <c:formatCode>0%</c:formatCode>
                <c:ptCount val="17"/>
                <c:pt idx="0">
                  <c:v>0.15384615384615385</c:v>
                </c:pt>
                <c:pt idx="1">
                  <c:v>0.40384615384615385</c:v>
                </c:pt>
                <c:pt idx="2">
                  <c:v>0.13461538461538461</c:v>
                </c:pt>
                <c:pt idx="3">
                  <c:v>7.6923076923076927E-2</c:v>
                </c:pt>
                <c:pt idx="4">
                  <c:v>0.13461538461538461</c:v>
                </c:pt>
                <c:pt idx="5">
                  <c:v>3.8461538461538464E-2</c:v>
                </c:pt>
                <c:pt idx="6">
                  <c:v>9.6153846153846159E-2</c:v>
                </c:pt>
                <c:pt idx="7">
                  <c:v>1.9230769230769232E-2</c:v>
                </c:pt>
                <c:pt idx="8">
                  <c:v>3.8461538461538464E-2</c:v>
                </c:pt>
                <c:pt idx="9">
                  <c:v>5.7692307692307696E-2</c:v>
                </c:pt>
                <c:pt idx="10">
                  <c:v>0.11538461538461539</c:v>
                </c:pt>
                <c:pt idx="11">
                  <c:v>0</c:v>
                </c:pt>
                <c:pt idx="12">
                  <c:v>1.9230769230769232E-2</c:v>
                </c:pt>
                <c:pt idx="13">
                  <c:v>3.8461538461538464E-2</c:v>
                </c:pt>
                <c:pt idx="14">
                  <c:v>0</c:v>
                </c:pt>
                <c:pt idx="15">
                  <c:v>1.9230769230769232E-2</c:v>
                </c:pt>
                <c:pt idx="16">
                  <c:v>9.6153846153846159E-2</c:v>
                </c:pt>
              </c:numCache>
            </c:numRef>
          </c:val>
          <c:extLst>
            <c:ext xmlns:c16="http://schemas.microsoft.com/office/drawing/2014/chart" uri="{C3380CC4-5D6E-409C-BE32-E72D297353CC}">
              <c16:uniqueId val="{00000000-D44D-4DE1-B19C-BC8C0B1E1E76}"/>
            </c:ext>
          </c:extLst>
        </c:ser>
        <c:dLbls>
          <c:showLegendKey val="0"/>
          <c:showVal val="1"/>
          <c:showCatName val="0"/>
          <c:showSerName val="0"/>
          <c:showPercent val="0"/>
          <c:showBubbleSize val="0"/>
        </c:dLbls>
        <c:gapWidth val="150"/>
        <c:overlap val="-25"/>
        <c:axId val="580725560"/>
        <c:axId val="580728304"/>
      </c:barChart>
      <c:catAx>
        <c:axId val="580725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28304"/>
        <c:crosses val="autoZero"/>
        <c:auto val="1"/>
        <c:lblAlgn val="ctr"/>
        <c:lblOffset val="100"/>
        <c:noMultiLvlLbl val="0"/>
      </c:catAx>
      <c:valAx>
        <c:axId val="580728304"/>
        <c:scaling>
          <c:orientation val="minMax"/>
        </c:scaling>
        <c:delete val="1"/>
        <c:axPos val="l"/>
        <c:numFmt formatCode="0%" sourceLinked="1"/>
        <c:majorTickMark val="none"/>
        <c:minorTickMark val="none"/>
        <c:tickLblPos val="nextTo"/>
        <c:crossAx val="58072556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płeć!$B$10</c:f>
              <c:strCache>
                <c:ptCount val="1"/>
                <c:pt idx="0">
                  <c:v>podkarpackie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856-4AA3-8162-6841E488C6C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856-4AA3-8162-6841E488C6C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płeć!$F$10:$G$10</c:f>
              <c:numCache>
                <c:formatCode>0%</c:formatCode>
                <c:ptCount val="2"/>
                <c:pt idx="0">
                  <c:v>0.3881856540084388</c:v>
                </c:pt>
                <c:pt idx="1">
                  <c:v>0.61181434599156115</c:v>
                </c:pt>
              </c:numCache>
            </c:numRef>
          </c:val>
          <c:extLst>
            <c:ext xmlns:c16="http://schemas.microsoft.com/office/drawing/2014/chart" uri="{C3380CC4-5D6E-409C-BE32-E72D297353CC}">
              <c16:uniqueId val="{00000004-E856-4AA3-8162-6841E488C6C5}"/>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wiek!$B$28</c:f>
              <c:strCache>
                <c:ptCount val="1"/>
                <c:pt idx="0">
                  <c:v>podkarpackie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wiek!$C$28:$H$28</c:f>
              <c:numCache>
                <c:formatCode>0%</c:formatCode>
                <c:ptCount val="6"/>
                <c:pt idx="0">
                  <c:v>0.189873417721519</c:v>
                </c:pt>
                <c:pt idx="1">
                  <c:v>0.20675105485232068</c:v>
                </c:pt>
                <c:pt idx="2">
                  <c:v>0.33333333333333331</c:v>
                </c:pt>
                <c:pt idx="3">
                  <c:v>0.16877637130801687</c:v>
                </c:pt>
                <c:pt idx="4">
                  <c:v>9.7046413502109699E-2</c:v>
                </c:pt>
                <c:pt idx="5">
                  <c:v>4.2194092827004216E-3</c:v>
                </c:pt>
              </c:numCache>
            </c:numRef>
          </c:val>
          <c:extLst>
            <c:ext xmlns:c16="http://schemas.microsoft.com/office/drawing/2014/chart" uri="{C3380CC4-5D6E-409C-BE32-E72D297353CC}">
              <c16:uniqueId val="{00000000-D132-4727-8889-3ABBC8BDDF96}"/>
            </c:ext>
          </c:extLst>
        </c:ser>
        <c:dLbls>
          <c:showLegendKey val="0"/>
          <c:showVal val="1"/>
          <c:showCatName val="0"/>
          <c:showSerName val="0"/>
          <c:showPercent val="0"/>
          <c:showBubbleSize val="0"/>
        </c:dLbls>
        <c:gapWidth val="150"/>
        <c:overlap val="-25"/>
        <c:axId val="580730264"/>
        <c:axId val="580730656"/>
      </c:barChart>
      <c:catAx>
        <c:axId val="580730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0656"/>
        <c:crosses val="autoZero"/>
        <c:auto val="1"/>
        <c:lblAlgn val="ctr"/>
        <c:lblOffset val="100"/>
        <c:noMultiLvlLbl val="0"/>
      </c:catAx>
      <c:valAx>
        <c:axId val="580730656"/>
        <c:scaling>
          <c:orientation val="minMax"/>
        </c:scaling>
        <c:delete val="1"/>
        <c:axPos val="l"/>
        <c:numFmt formatCode="0%" sourceLinked="1"/>
        <c:majorTickMark val="none"/>
        <c:minorTickMark val="none"/>
        <c:tickLblPos val="nextTo"/>
        <c:crossAx val="580730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status na rynku pracy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status!$B$31</c:f>
              <c:strCache>
                <c:ptCount val="1"/>
                <c:pt idx="0">
                  <c:v>podkarpackie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status!$C$31:$H$31</c:f>
              <c:numCache>
                <c:formatCode>0%</c:formatCode>
                <c:ptCount val="6"/>
                <c:pt idx="0">
                  <c:v>0.11392405063291139</c:v>
                </c:pt>
                <c:pt idx="1">
                  <c:v>0.13502109704641349</c:v>
                </c:pt>
                <c:pt idx="2">
                  <c:v>0.72573839662447259</c:v>
                </c:pt>
                <c:pt idx="3">
                  <c:v>2.1097046413502109E-2</c:v>
                </c:pt>
                <c:pt idx="4">
                  <c:v>4.2194092827004216E-3</c:v>
                </c:pt>
                <c:pt idx="5">
                  <c:v>0</c:v>
                </c:pt>
              </c:numCache>
            </c:numRef>
          </c:val>
          <c:extLst>
            <c:ext xmlns:c16="http://schemas.microsoft.com/office/drawing/2014/chart" uri="{C3380CC4-5D6E-409C-BE32-E72D297353CC}">
              <c16:uniqueId val="{00000000-E707-46D1-907E-B3495B0B218F}"/>
            </c:ext>
          </c:extLst>
        </c:ser>
        <c:dLbls>
          <c:showLegendKey val="0"/>
          <c:showVal val="1"/>
          <c:showCatName val="0"/>
          <c:showSerName val="0"/>
          <c:showPercent val="0"/>
          <c:showBubbleSize val="0"/>
        </c:dLbls>
        <c:gapWidth val="150"/>
        <c:overlap val="-25"/>
        <c:axId val="580731440"/>
        <c:axId val="580731832"/>
      </c:barChart>
      <c:catAx>
        <c:axId val="58073144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1832"/>
        <c:crosses val="autoZero"/>
        <c:auto val="1"/>
        <c:lblAlgn val="ctr"/>
        <c:lblOffset val="100"/>
        <c:noMultiLvlLbl val="0"/>
      </c:catAx>
      <c:valAx>
        <c:axId val="580731832"/>
        <c:scaling>
          <c:orientation val="minMax"/>
        </c:scaling>
        <c:delete val="1"/>
        <c:axPos val="t"/>
        <c:numFmt formatCode="0%" sourceLinked="1"/>
        <c:majorTickMark val="none"/>
        <c:minorTickMark val="none"/>
        <c:tickLblPos val="nextTo"/>
        <c:crossAx val="5807314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status osoby niepełnosprawnej</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ON!$B$30</c:f>
              <c:strCache>
                <c:ptCount val="1"/>
                <c:pt idx="0">
                  <c:v>podkarpackie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374-44E7-87A1-1C80E90E271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374-44E7-87A1-1C80E90E271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ON!$C$30:$D$30</c:f>
              <c:numCache>
                <c:formatCode>0%</c:formatCode>
                <c:ptCount val="2"/>
                <c:pt idx="0">
                  <c:v>8.8607594936708861E-2</c:v>
                </c:pt>
                <c:pt idx="1">
                  <c:v>0.91139240506329111</c:v>
                </c:pt>
              </c:numCache>
            </c:numRef>
          </c:val>
          <c:extLst>
            <c:ext xmlns:c16="http://schemas.microsoft.com/office/drawing/2014/chart" uri="{C3380CC4-5D6E-409C-BE32-E72D297353CC}">
              <c16:uniqueId val="{00000004-1374-44E7-87A1-1C80E90E271C}"/>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wykszt!$B$28</c:f>
              <c:strCache>
                <c:ptCount val="1"/>
                <c:pt idx="0">
                  <c:v>podkarpackie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wykszt!$C$28:$J$28</c:f>
              <c:numCache>
                <c:formatCode>0%</c:formatCode>
                <c:ptCount val="8"/>
                <c:pt idx="0">
                  <c:v>2.1097046413502109E-2</c:v>
                </c:pt>
                <c:pt idx="1">
                  <c:v>8.8607594936708861E-2</c:v>
                </c:pt>
                <c:pt idx="2">
                  <c:v>1.2658227848101266E-2</c:v>
                </c:pt>
                <c:pt idx="3">
                  <c:v>0.23628691983122363</c:v>
                </c:pt>
                <c:pt idx="4">
                  <c:v>0.32067510548523209</c:v>
                </c:pt>
                <c:pt idx="5">
                  <c:v>9.2827004219409287E-2</c:v>
                </c:pt>
                <c:pt idx="6">
                  <c:v>6.7510548523206745E-2</c:v>
                </c:pt>
                <c:pt idx="7">
                  <c:v>0.16033755274261605</c:v>
                </c:pt>
              </c:numCache>
            </c:numRef>
          </c:val>
          <c:extLst>
            <c:ext xmlns:c16="http://schemas.microsoft.com/office/drawing/2014/chart" uri="{C3380CC4-5D6E-409C-BE32-E72D297353CC}">
              <c16:uniqueId val="{00000000-D9FB-4EB1-87DD-721AD2A8A7B4}"/>
            </c:ext>
          </c:extLst>
        </c:ser>
        <c:dLbls>
          <c:showLegendKey val="0"/>
          <c:showVal val="1"/>
          <c:showCatName val="0"/>
          <c:showSerName val="0"/>
          <c:showPercent val="0"/>
          <c:showBubbleSize val="0"/>
        </c:dLbls>
        <c:gapWidth val="150"/>
        <c:overlap val="-25"/>
        <c:axId val="580734968"/>
        <c:axId val="580739280"/>
      </c:barChart>
      <c:catAx>
        <c:axId val="5807349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80739280"/>
        <c:crosses val="autoZero"/>
        <c:auto val="1"/>
        <c:lblAlgn val="ctr"/>
        <c:lblOffset val="100"/>
        <c:noMultiLvlLbl val="0"/>
      </c:catAx>
      <c:valAx>
        <c:axId val="580739280"/>
        <c:scaling>
          <c:orientation val="minMax"/>
        </c:scaling>
        <c:delete val="1"/>
        <c:axPos val="b"/>
        <c:numFmt formatCode="0%" sourceLinked="1"/>
        <c:majorTickMark val="none"/>
        <c:minorTickMark val="none"/>
        <c:tickLblPos val="nextTo"/>
        <c:crossAx val="5807349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b2fe3a-7a8c-4032-b4dd-3b68099be7d8">
      <Terms xmlns="http://schemas.microsoft.com/office/infopath/2007/PartnerControls"/>
    </lcf76f155ced4ddcb4097134ff3c332f>
    <TaxCatchAll xmlns="af61acb3-121d-4d71-bde7-5f2ffce99a80" xsi:nil="true"/>
  </documentManagement>
</p:properties>
</file>

<file path=customXml/itemProps1.xml><?xml version="1.0" encoding="utf-8"?>
<ds:datastoreItem xmlns:ds="http://schemas.openxmlformats.org/officeDocument/2006/customXml" ds:itemID="{51FE10D1-7DBB-49CB-9959-8F9FA9204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03914-61B5-4052-96D9-9C150696E213}">
  <ds:schemaRefs>
    <ds:schemaRef ds:uri="http://schemas.microsoft.com/sharepoint/v3/contenttype/forms"/>
  </ds:schemaRefs>
</ds:datastoreItem>
</file>

<file path=customXml/itemProps3.xml><?xml version="1.0" encoding="utf-8"?>
<ds:datastoreItem xmlns:ds="http://schemas.openxmlformats.org/officeDocument/2006/customXml" ds:itemID="{D5D14CB9-F6E5-4E42-B2B3-DC0AD5687120}"/>
</file>

<file path=docProps/app.xml><?xml version="1.0" encoding="utf-8"?>
<Properties xmlns="http://schemas.openxmlformats.org/officeDocument/2006/extended-properties" xmlns:vt="http://schemas.openxmlformats.org/officeDocument/2006/docPropsVTypes">
  <Template>Normal</Template>
  <TotalTime>1066</TotalTime>
  <Pages>7</Pages>
  <Words>1099</Words>
  <Characters>6600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38</cp:revision>
  <dcterms:created xsi:type="dcterms:W3CDTF">2022-01-17T07:05:00Z</dcterms:created>
  <dcterms:modified xsi:type="dcterms:W3CDTF">2023-11-28T09:39:00Z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